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240" w:lineRule="auto"/>
        <w:ind w:left="-180" w:right="-450" w:firstLine="0"/>
        <w:rPr>
          <w:rFonts w:ascii="Helvetica Neue" w:cs="Helvetica Neue" w:eastAsia="Helvetica Neue" w:hAnsi="Helvetica Neue"/>
        </w:rPr>
      </w:pPr>
      <w:r w:rsidDel="00000000" w:rsidR="00000000" w:rsidRPr="00000000">
        <w:rPr>
          <w:rFonts w:ascii="Helvetica Neue" w:cs="Helvetica Neue" w:eastAsia="Helvetica Neue" w:hAnsi="Helvetica Neue"/>
          <w:b w:val="1"/>
          <w:sz w:val="28"/>
          <w:szCs w:val="28"/>
          <w:rtl w:val="0"/>
        </w:rPr>
        <w:t xml:space="preserve">Кому: Руководителям сектора сельского и лесного хозяйства                                                                                                         Тема: Подготовка к саммиту ООН по климату</w:t>
      </w:r>
      <w:r w:rsidDel="00000000" w:rsidR="00000000" w:rsidRPr="00000000">
        <w:rPr>
          <w:rtl w:val="0"/>
        </w:rPr>
      </w:r>
    </w:p>
    <w:p w:rsidR="00000000" w:rsidDel="00000000" w:rsidP="00000000" w:rsidRDefault="00000000" w:rsidRPr="00000000" w14:paraId="00000002">
      <w:pPr>
        <w:spacing w:after="240" w:before="240" w:line="240" w:lineRule="auto"/>
        <w:ind w:left="0" w:right="-90"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Добро пожаловать на переговоры ООН по климату. Вы и лидеры других секторов были приглашены генеральным секретарем ООН, чтобы вместе найти эффективные методы борьбы с изменением климата.</w:t>
      </w:r>
    </w:p>
    <w:p w:rsidR="00000000" w:rsidDel="00000000" w:rsidP="00000000" w:rsidRDefault="00000000" w:rsidRPr="00000000" w14:paraId="00000003">
      <w:pPr>
        <w:spacing w:after="240" w:before="240" w:lineRule="auto"/>
        <w:ind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Цель саммита — выработать план действий, который позволит удержать глобальное потепление на уровне менее 2°С по сравнению с доиндустриальными значениями, и стремиться к уровню 1,5°С. Данные целевые показатели официально зафиксированы в Парижском соглашении по климату. Результаты научных исследований говорят об одном: превышение этого уровня приведет к катастрофическим и необратимым последствиям, угрожающим здоровью, благополучию и даже жизни людей на всей планете.</w:t>
      </w:r>
    </w:p>
    <w:p w:rsidR="00000000" w:rsidDel="00000000" w:rsidP="00000000" w:rsidRDefault="00000000" w:rsidRPr="00000000" w14:paraId="00000004">
      <w:pPr>
        <w:spacing w:after="240" w:before="240" w:lineRule="auto"/>
        <w:ind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В вашу группу входят представители крупнейших сельскохозяйственных и лесопромышленных компаний, производителей продуктов питания, крупных землевладельцев, министерств сельского хозяйства и природных ресурсов, а также некоммерческих организаций. Задача вашей группы — накормить людей по всему миру, сохранить леса и сдержать изменение климата в одно и то же время.</w:t>
      </w:r>
    </w:p>
    <w:p w:rsidR="00000000" w:rsidDel="00000000" w:rsidP="00000000" w:rsidRDefault="00000000" w:rsidRPr="00000000" w14:paraId="00000005">
      <w:pPr>
        <w:spacing w:after="240" w:before="240" w:lineRule="auto"/>
        <w:ind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u w:val="single"/>
          <w:rtl w:val="0"/>
        </w:rPr>
        <w:t xml:space="preserve">Приоритеты</w:t>
      </w:r>
      <w:r w:rsidDel="00000000" w:rsidR="00000000" w:rsidRPr="00000000">
        <w:rPr>
          <w:rFonts w:ascii="Helvetica Neue" w:cs="Helvetica Neue" w:eastAsia="Helvetica Neue" w:hAnsi="Helvetica Neue"/>
          <w:rtl w:val="0"/>
        </w:rPr>
        <w:t xml:space="preserve"> вашей политики перечислены ниже. Тем не менее, вы можете предложить или заблокировать любые из имеющихся в модели мер:</w:t>
      </w:r>
    </w:p>
    <w:p w:rsidR="00000000" w:rsidDel="00000000" w:rsidP="00000000" w:rsidRDefault="00000000" w:rsidRPr="00000000" w14:paraId="00000006">
      <w:pPr>
        <w:spacing w:after="240" w:before="240" w:lineRule="auto"/>
        <w:ind w:firstLine="72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7">
      <w:pPr>
        <w:spacing w:after="240" w:before="240" w:lineRule="auto"/>
        <w:ind w:lef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1.</w:t>
      </w:r>
      <w:r w:rsidDel="00000000" w:rsidR="00000000" w:rsidRPr="00000000">
        <w:rPr>
          <w:rFonts w:ascii="Helvetica Neue" w:cs="Helvetica Neue" w:eastAsia="Helvetica Neue" w:hAnsi="Helvetica Neue"/>
          <w:rtl w:val="0"/>
        </w:rPr>
        <w:t xml:space="preserve"> </w:t>
      </w:r>
      <w:r w:rsidDel="00000000" w:rsidR="00000000" w:rsidRPr="00000000">
        <w:rPr>
          <w:rFonts w:ascii="Helvetica Neue" w:cs="Helvetica Neue" w:eastAsia="Helvetica Neue" w:hAnsi="Helvetica Neue"/>
          <w:b w:val="1"/>
          <w:rtl w:val="0"/>
        </w:rPr>
        <w:t xml:space="preserve">Поддерживайте меры против обезлесения.</w:t>
      </w:r>
      <w:r w:rsidDel="00000000" w:rsidR="00000000" w:rsidRPr="00000000">
        <w:rPr>
          <w:rFonts w:ascii="Helvetica Neue" w:cs="Helvetica Neue" w:eastAsia="Helvetica Neue" w:hAnsi="Helvetica Neue"/>
          <w:rtl w:val="0"/>
        </w:rPr>
        <w:t xml:space="preserve"> </w:t>
      </w:r>
      <w:r w:rsidDel="00000000" w:rsidR="00000000" w:rsidRPr="00000000">
        <w:drawing>
          <wp:anchor allowOverlap="1" behindDoc="0" distB="114300" distT="114300" distL="114300" distR="114300" hidden="0" layoutInCell="1" locked="0" relativeHeight="0" simplePos="0">
            <wp:simplePos x="0" y="0"/>
            <wp:positionH relativeFrom="column">
              <wp:posOffset>1962150</wp:posOffset>
            </wp:positionH>
            <wp:positionV relativeFrom="paragraph">
              <wp:posOffset>400050</wp:posOffset>
            </wp:positionV>
            <wp:extent cx="1838325" cy="600075"/>
            <wp:effectExtent b="0" l="0" r="0" t="0"/>
            <wp:wrapSquare wrapText="bothSides" distB="114300" distT="114300" distL="114300" distR="114300"/>
            <wp:docPr id="3"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1838325" cy="600075"/>
                    </a:xfrm>
                    <a:prstGeom prst="rect"/>
                    <a:ln/>
                  </pic:spPr>
                </pic:pic>
              </a:graphicData>
            </a:graphic>
          </wp:anchor>
        </w:drawing>
      </w:r>
    </w:p>
    <w:p w:rsidR="00000000" w:rsidDel="00000000" w:rsidP="00000000" w:rsidRDefault="00000000" w:rsidRPr="00000000" w14:paraId="00000008">
      <w:pPr>
        <w:spacing w:after="240" w:before="240" w:lineRule="auto"/>
        <w:ind w:lef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9">
      <w:pPr>
        <w:spacing w:after="240" w:before="240" w:lineRule="auto"/>
        <w:ind w:lef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A">
      <w:pPr>
        <w:spacing w:after="240" w:before="240" w:lineRule="auto"/>
        <w:ind w:lef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B">
      <w:pPr>
        <w:spacing w:after="240" w:before="240" w:lineRule="auto"/>
        <w:ind w:left="0"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На вырубку лесов приходится около 15% от всего объема выбросов парниковых газов. Меры против обезлесения могут помочь сократить эти выбросы, а также сохранить биоразнообразие и чистую воду. Однако ограничение объемов вырубки также сокращает возможности для заготовки древесины, производства биотоплива и выращивания продуктов питания на очищенных от леса землях. </w:t>
      </w:r>
    </w:p>
    <w:p w:rsidR="00000000" w:rsidDel="00000000" w:rsidP="00000000" w:rsidRDefault="00000000" w:rsidRPr="00000000" w14:paraId="0000000C">
      <w:pPr>
        <w:spacing w:after="240" w:before="240" w:lineRule="auto"/>
        <w:ind w:left="0"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Вырубку лесов осуществляют как владельцы небольших ферм и жители сельских территорий, которые используют древесину в качестве топлива, так и крупные компании, которые заготавливают древесину или расчищают территории для сельскохозяйственных нужд, например вырубая тропические леса под плантации масличных пальм и других культур, или для выращивания скота.</w:t>
      </w:r>
    </w:p>
    <w:p w:rsidR="00000000" w:rsidDel="00000000" w:rsidP="00000000" w:rsidRDefault="00000000" w:rsidRPr="00000000" w14:paraId="0000000D">
      <w:pPr>
        <w:spacing w:after="240" w:before="240" w:lineRule="auto"/>
        <w:ind w:lef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E">
      <w:pPr>
        <w:spacing w:after="240" w:before="240" w:lineRule="auto"/>
        <w:ind w:left="0" w:firstLine="0"/>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2. Рассмотрите возможность </w:t>
      </w:r>
      <w:r w:rsidDel="00000000" w:rsidR="00000000" w:rsidRPr="00000000">
        <w:rPr>
          <w:rFonts w:ascii="Helvetica Neue" w:cs="Helvetica Neue" w:eastAsia="Helvetica Neue" w:hAnsi="Helvetica Neue"/>
          <w:b w:val="1"/>
          <w:rtl w:val="0"/>
        </w:rPr>
        <w:t xml:space="preserve">высадки</w:t>
      </w:r>
      <w:r w:rsidDel="00000000" w:rsidR="00000000" w:rsidRPr="00000000">
        <w:rPr>
          <w:rFonts w:ascii="Helvetica Neue" w:cs="Helvetica Neue" w:eastAsia="Helvetica Neue" w:hAnsi="Helvetica Neue"/>
          <w:b w:val="1"/>
          <w:rtl w:val="0"/>
        </w:rPr>
        <w:t xml:space="preserve"> леса. </w:t>
      </w:r>
      <w:r w:rsidDel="00000000" w:rsidR="00000000" w:rsidRPr="00000000">
        <w:drawing>
          <wp:anchor allowOverlap="1" behindDoc="0" distB="114300" distT="114300" distL="114300" distR="114300" hidden="0" layoutInCell="1" locked="0" relativeHeight="0" simplePos="0">
            <wp:simplePos x="0" y="0"/>
            <wp:positionH relativeFrom="column">
              <wp:posOffset>2033588</wp:posOffset>
            </wp:positionH>
            <wp:positionV relativeFrom="paragraph">
              <wp:posOffset>428625</wp:posOffset>
            </wp:positionV>
            <wp:extent cx="1876425" cy="638175"/>
            <wp:effectExtent b="0" l="0" r="0" t="0"/>
            <wp:wrapSquare wrapText="bothSides" distB="114300" distT="114300" distL="114300" distR="114300"/>
            <wp:docPr id="4"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1876425" cy="638175"/>
                    </a:xfrm>
                    <a:prstGeom prst="rect"/>
                    <a:ln/>
                  </pic:spPr>
                </pic:pic>
              </a:graphicData>
            </a:graphic>
          </wp:anchor>
        </w:drawing>
      </w:r>
    </w:p>
    <w:p w:rsidR="00000000" w:rsidDel="00000000" w:rsidP="00000000" w:rsidRDefault="00000000" w:rsidRPr="00000000" w14:paraId="0000000F">
      <w:pPr>
        <w:spacing w:after="240" w:before="240" w:lineRule="auto"/>
        <w:ind w:lef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0">
      <w:pPr>
        <w:spacing w:after="240" w:before="240" w:lineRule="auto"/>
        <w:ind w:lef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1">
      <w:pPr>
        <w:spacing w:after="240" w:before="240" w:lineRule="auto"/>
        <w:ind w:lef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2">
      <w:pPr>
        <w:spacing w:after="240" w:before="240" w:lineRule="auto"/>
        <w:ind w:left="0"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Высадка леса может проводиться как на территориях, где лес был вырублен, так и на ранее не занятых лесом землях, в том числе нарушенных. По мере того, как лес растет, он поглощает СО</w:t>
      </w:r>
      <w:r w:rsidDel="00000000" w:rsidR="00000000" w:rsidRPr="00000000">
        <w:rPr>
          <w:rFonts w:ascii="Helvetica Neue" w:cs="Helvetica Neue" w:eastAsia="Helvetica Neue" w:hAnsi="Helvetica Neue"/>
          <w:vertAlign w:val="subscript"/>
          <w:rtl w:val="0"/>
        </w:rPr>
        <w:t xml:space="preserve">2</w:t>
      </w:r>
      <w:r w:rsidDel="00000000" w:rsidR="00000000" w:rsidRPr="00000000">
        <w:rPr>
          <w:rFonts w:ascii="Helvetica Neue" w:cs="Helvetica Neue" w:eastAsia="Helvetica Neue" w:hAnsi="Helvetica Neue"/>
          <w:rtl w:val="0"/>
        </w:rPr>
        <w:t xml:space="preserve"> из атмосферы и удерживает его в биомассе растений и в почве. Леса помогают сохранять биоразнообразие, замедляют эрозию почв и деградацию земель, а также защищают от наводнений. При высадке леса в крупных масштабах для этих целей могут быть задействованы территории, на которых выращивают сельскохозяйственные культуры или скот, что приведет к повышению цен на продукты питания из-за ужесточения конкуренции за землю. При рассмотрении инициатив по высадке леса принимайте во внимание, какие земельные ресурсы для этого потребуются.</w:t>
      </w:r>
    </w:p>
    <w:p w:rsidR="00000000" w:rsidDel="00000000" w:rsidP="00000000" w:rsidRDefault="00000000" w:rsidRPr="00000000" w14:paraId="00000013">
      <w:pPr>
        <w:spacing w:after="240" w:before="240" w:lineRule="auto"/>
        <w:ind w:left="0" w:firstLine="72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4">
      <w:pPr>
        <w:spacing w:after="240" w:before="240" w:lineRule="auto"/>
        <w:ind w:lef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3. Примите во внимание выбросы метана, оксида азота и других парниковых газов.</w:t>
      </w: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15">
      <w:pPr>
        <w:spacing w:after="240" w:before="240" w:lineRule="auto"/>
        <w:ind w:left="0" w:firstLine="0"/>
        <w:jc w:val="both"/>
        <w:rPr>
          <w:rFonts w:ascii="Helvetica Neue" w:cs="Helvetica Neue" w:eastAsia="Helvetica Neue" w:hAnsi="Helvetica Neu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1981200</wp:posOffset>
            </wp:positionH>
            <wp:positionV relativeFrom="paragraph">
              <wp:posOffset>121384</wp:posOffset>
            </wp:positionV>
            <wp:extent cx="1990725" cy="609600"/>
            <wp:effectExtent b="0" l="0" r="0" t="0"/>
            <wp:wrapSquare wrapText="bothSides" distB="114300" distT="114300" distL="114300" distR="114300"/>
            <wp:docPr id="5"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1990725" cy="609600"/>
                    </a:xfrm>
                    <a:prstGeom prst="rect"/>
                    <a:ln/>
                  </pic:spPr>
                </pic:pic>
              </a:graphicData>
            </a:graphic>
          </wp:anchor>
        </w:drawing>
      </w:r>
    </w:p>
    <w:p w:rsidR="00000000" w:rsidDel="00000000" w:rsidP="00000000" w:rsidRDefault="00000000" w:rsidRPr="00000000" w14:paraId="00000016">
      <w:pPr>
        <w:spacing w:after="240" w:before="240" w:lineRule="auto"/>
        <w:ind w:lef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7">
      <w:pPr>
        <w:spacing w:after="240" w:before="240" w:lineRule="auto"/>
        <w:ind w:left="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8">
      <w:pPr>
        <w:spacing w:after="240" w:before="240" w:lineRule="auto"/>
        <w:ind w:left="0"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СО</w:t>
      </w:r>
      <w:r w:rsidDel="00000000" w:rsidR="00000000" w:rsidRPr="00000000">
        <w:rPr>
          <w:rFonts w:ascii="Helvetica Neue" w:cs="Helvetica Neue" w:eastAsia="Helvetica Neue" w:hAnsi="Helvetica Neue"/>
          <w:vertAlign w:val="subscript"/>
          <w:rtl w:val="0"/>
        </w:rPr>
        <w:t xml:space="preserve">2 </w:t>
      </w:r>
      <w:r w:rsidDel="00000000" w:rsidR="00000000" w:rsidRPr="00000000">
        <w:rPr>
          <w:rFonts w:ascii="Helvetica Neue" w:cs="Helvetica Neue" w:eastAsia="Helvetica Neue" w:hAnsi="Helvetica Neue"/>
          <w:rtl w:val="0"/>
        </w:rPr>
        <w:t xml:space="preserve">—</w:t>
      </w:r>
      <w:r w:rsidDel="00000000" w:rsidR="00000000" w:rsidRPr="00000000">
        <w:rPr>
          <w:rFonts w:ascii="Helvetica Neue" w:cs="Helvetica Neue" w:eastAsia="Helvetica Neue" w:hAnsi="Helvetica Neue"/>
          <w:rtl w:val="0"/>
        </w:rPr>
        <w:t xml:space="preserve"> самый значимый из парниковых газов, но на другие парниковые газы, особенно метан (СН</w:t>
      </w:r>
      <w:r w:rsidDel="00000000" w:rsidR="00000000" w:rsidRPr="00000000">
        <w:rPr>
          <w:rFonts w:ascii="Helvetica Neue" w:cs="Helvetica Neue" w:eastAsia="Helvetica Neue" w:hAnsi="Helvetica Neue"/>
          <w:vertAlign w:val="subscript"/>
          <w:rtl w:val="0"/>
        </w:rPr>
        <w:t xml:space="preserve">4</w:t>
      </w:r>
      <w:r w:rsidDel="00000000" w:rsidR="00000000" w:rsidRPr="00000000">
        <w:rPr>
          <w:rFonts w:ascii="Helvetica Neue" w:cs="Helvetica Neue" w:eastAsia="Helvetica Neue" w:hAnsi="Helvetica Neue"/>
          <w:rtl w:val="0"/>
        </w:rPr>
        <w:t xml:space="preserve">) и оксид азота (N</w:t>
      </w:r>
      <w:r w:rsidDel="00000000" w:rsidR="00000000" w:rsidRPr="00000000">
        <w:rPr>
          <w:rFonts w:ascii="Helvetica Neue" w:cs="Helvetica Neue" w:eastAsia="Helvetica Neue" w:hAnsi="Helvetica Neue"/>
          <w:vertAlign w:val="subscript"/>
          <w:rtl w:val="0"/>
        </w:rPr>
        <w:t xml:space="preserve">2</w:t>
      </w:r>
      <w:r w:rsidDel="00000000" w:rsidR="00000000" w:rsidRPr="00000000">
        <w:rPr>
          <w:rFonts w:ascii="Helvetica Neue" w:cs="Helvetica Neue" w:eastAsia="Helvetica Neue" w:hAnsi="Helvetica Neue"/>
          <w:rtl w:val="0"/>
        </w:rPr>
        <w:t xml:space="preserve">O), приходится примерно четверть от общего вклада в глобальное потепление. На горизонте ста лет и в пересчете на молекулу влияние метана на глобальное потепление в 25 раз больше, чем вклад СО</w:t>
      </w:r>
      <w:r w:rsidDel="00000000" w:rsidR="00000000" w:rsidRPr="00000000">
        <w:rPr>
          <w:rFonts w:ascii="Helvetica Neue" w:cs="Helvetica Neue" w:eastAsia="Helvetica Neue" w:hAnsi="Helvetica Neue"/>
          <w:vertAlign w:val="subscript"/>
          <w:rtl w:val="0"/>
        </w:rPr>
        <w:t xml:space="preserve">2</w:t>
      </w:r>
      <w:r w:rsidDel="00000000" w:rsidR="00000000" w:rsidRPr="00000000">
        <w:rPr>
          <w:rFonts w:ascii="Helvetica Neue" w:cs="Helvetica Neue" w:eastAsia="Helvetica Neue" w:hAnsi="Helvetica Neue"/>
          <w:rtl w:val="0"/>
        </w:rPr>
        <w:t xml:space="preserve">, а влияние оксида азота — в 300 раз больше. </w:t>
      </w:r>
    </w:p>
    <w:p w:rsidR="00000000" w:rsidDel="00000000" w:rsidP="00000000" w:rsidRDefault="00000000" w:rsidRPr="00000000" w14:paraId="00000019">
      <w:pPr>
        <w:spacing w:after="240" w:before="240" w:lineRule="auto"/>
        <w:ind w:left="0"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Основной источник метана – современные методы сельского хозяйства, в том числе животноводства; а оксида азота – применяемые фермерами удобрения. Вы готовы поддержать внедрение недорогих технологий, которые помогут сократить выбросы парниковых газов. Однако вы выступаете против законодательных ограничений (например, на использование удобрений) и пропаганды экологичного образа жизни (например, сокращения потребления мяса), так как они могут снизить прибыльность агропромышленных предприятий. Вы не торопитесь поддерживать подобные инициативы, несмотря на значительный потенциал снижения выбросов, которым они обладают. </w:t>
      </w:r>
    </w:p>
    <w:p w:rsidR="00000000" w:rsidDel="00000000" w:rsidP="00000000" w:rsidRDefault="00000000" w:rsidRPr="00000000" w14:paraId="0000001A">
      <w:pPr>
        <w:spacing w:after="240" w:before="240" w:lineRule="auto"/>
        <w:ind w:left="0"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Разнообразные перфторуглеводороды и подобные им соединения также вносят вклад в глобальное потепление. Они используются в промышленных процессах и содержатся в потребительских товарах (например, в хладагентах и растворителях). Концентрация этих газов в атмосфере не велика, но вклад многих из них в глобальное потепление в тысячи раз больше, чем вклад СО</w:t>
      </w:r>
      <w:r w:rsidDel="00000000" w:rsidR="00000000" w:rsidRPr="00000000">
        <w:rPr>
          <w:rFonts w:ascii="Helvetica Neue" w:cs="Helvetica Neue" w:eastAsia="Helvetica Neue" w:hAnsi="Helvetica Neue"/>
          <w:vertAlign w:val="subscript"/>
          <w:rtl w:val="0"/>
        </w:rPr>
        <w:t xml:space="preserve">2</w:t>
      </w:r>
      <w:r w:rsidDel="00000000" w:rsidR="00000000" w:rsidRPr="00000000">
        <w:rPr>
          <w:rFonts w:ascii="Helvetica Neue" w:cs="Helvetica Neue" w:eastAsia="Helvetica Neue" w:hAnsi="Helvetica Neue"/>
          <w:rtl w:val="0"/>
        </w:rPr>
        <w:t xml:space="preserve"> (в пересчете на молекулу). Вы можете поддержать инициативы по снижению выбросов этих газов, поскольку они не повлекут серьезных последствий для вашего сектора.</w:t>
      </w:r>
    </w:p>
    <w:p w:rsidR="00000000" w:rsidDel="00000000" w:rsidP="00000000" w:rsidRDefault="00000000" w:rsidRPr="00000000" w14:paraId="0000001B">
      <w:pPr>
        <w:spacing w:after="240" w:before="240" w:lineRule="auto"/>
        <w:ind w:left="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4. Поддерживайте введение субсидий на энергию из возобновляемых источников.</w:t>
      </w:r>
      <w:r w:rsidDel="00000000" w:rsidR="00000000" w:rsidRPr="00000000">
        <w:rPr>
          <w:rFonts w:ascii="Helvetica Neue" w:cs="Helvetica Neue" w:eastAsia="Helvetica Neue" w:hAnsi="Helvetica Neue"/>
          <w:rtl w:val="0"/>
        </w:rPr>
        <w:t xml:space="preserve"> </w:t>
      </w:r>
      <w:r w:rsidDel="00000000" w:rsidR="00000000" w:rsidRPr="00000000">
        <w:drawing>
          <wp:anchor allowOverlap="1" behindDoc="0" distB="114300" distT="114300" distL="114300" distR="114300" hidden="0" layoutInCell="1" locked="0" relativeHeight="0" simplePos="0">
            <wp:simplePos x="0" y="0"/>
            <wp:positionH relativeFrom="column">
              <wp:posOffset>2057400</wp:posOffset>
            </wp:positionH>
            <wp:positionV relativeFrom="paragraph">
              <wp:posOffset>438150</wp:posOffset>
            </wp:positionV>
            <wp:extent cx="1828800" cy="581025"/>
            <wp:effectExtent b="0" l="0" r="0" t="0"/>
            <wp:wrapTopAndBottom distB="114300" distT="114300"/>
            <wp:docPr id="1"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1828800" cy="581025"/>
                    </a:xfrm>
                    <a:prstGeom prst="rect"/>
                    <a:ln/>
                  </pic:spPr>
                </pic:pic>
              </a:graphicData>
            </a:graphic>
          </wp:anchor>
        </w:drawing>
      </w:r>
    </w:p>
    <w:p w:rsidR="00000000" w:rsidDel="00000000" w:rsidP="00000000" w:rsidRDefault="00000000" w:rsidRPr="00000000" w14:paraId="0000001C">
      <w:pPr>
        <w:spacing w:after="240" w:before="240" w:lineRule="auto"/>
        <w:ind w:left="0" w:firstLine="720"/>
        <w:jc w:val="both"/>
        <w:rPr>
          <w:rFonts w:ascii="Helvetica Neue" w:cs="Helvetica Neue" w:eastAsia="Helvetica Neue" w:hAnsi="Helvetica Neue"/>
        </w:rPr>
      </w:pPr>
      <w:r w:rsidDel="00000000" w:rsidR="00000000" w:rsidRPr="00000000">
        <w:rPr>
          <w:rFonts w:ascii="Arial" w:cs="Arial" w:eastAsia="Arial" w:hAnsi="Arial"/>
          <w:rtl w:val="0"/>
        </w:rPr>
        <w:t xml:space="preserve">Выбросы от сжигания ископаемого топлива — вот основная причина глобального потепления, а вовсе не землепользование. Вы готовы отказаться от ископаемых видов топлива, на которых работает ваше оборудование и транспорт, и перейти на доступные возобновляемые источники энергии. Фермеры и землевладельцы могут устанавливать солнечные панели и ветровые турбины и в то же время продолжать использовать бόльшую часть своей земли для выращивания сельскохозяйственных культур и скота, поэтому вы поддерживаете субсидии на технологии «чистой» энергетики. Крупные лесопромышленные компании и агропроизводители выступают против таких инициатив, как введение цены на углерод для ископаемого топлива, поскольку они приведут к повышению операционных расходов, однако экологические некоммерческие организации поддерживают данные меры, чтобы ускорить снижение выбросов СО</w:t>
      </w:r>
      <w:r w:rsidDel="00000000" w:rsidR="00000000" w:rsidRPr="00000000">
        <w:rPr>
          <w:rFonts w:ascii="Helvetica Neue" w:cs="Helvetica Neue" w:eastAsia="Helvetica Neue" w:hAnsi="Helvetica Neue"/>
          <w:vertAlign w:val="subscript"/>
          <w:rtl w:val="0"/>
        </w:rPr>
        <w:t xml:space="preserve">2</w:t>
      </w:r>
      <w:r w:rsidDel="00000000" w:rsidR="00000000" w:rsidRPr="00000000">
        <w:rPr>
          <w:rFonts w:ascii="Helvetica Neue" w:cs="Helvetica Neue" w:eastAsia="Helvetica Neue" w:hAnsi="Helvetica Neue"/>
          <w:rtl w:val="0"/>
        </w:rPr>
        <w:t xml:space="preserve">.</w:t>
      </w:r>
    </w:p>
    <w:p w:rsidR="00000000" w:rsidDel="00000000" w:rsidP="00000000" w:rsidRDefault="00000000" w:rsidRPr="00000000" w14:paraId="0000001D">
      <w:pPr>
        <w:spacing w:after="240" w:befor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E">
      <w:pPr>
        <w:spacing w:after="240" w:befor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F">
      <w:pPr>
        <w:spacing w:after="240" w:before="240" w:lineRule="auto"/>
        <w:jc w:val="both"/>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Контекст</w:t>
      </w:r>
    </w:p>
    <w:p w:rsidR="00000000" w:rsidDel="00000000" w:rsidP="00000000" w:rsidRDefault="00000000" w:rsidRPr="00000000" w14:paraId="00000020">
      <w:pPr>
        <w:spacing w:after="240" w:before="240" w:lineRule="auto"/>
        <w:ind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Население Земли сегодня составляет 7,7 миллиардов человек. По прогнозам ООН к 2050 году оно вырастет до 9 миллиардов, а к 2100 достигнет 11 миллиардов человек. Рост населения и доходов приводит к росту спроса на зерно, мясо, дерево и другие продукты, для выращивания которых требуются земельные ресурсы. Сегодня около одного миллиарда людей страдают от недостатка полноценной еды, что приводит к недоеданию и голоду. В тоже время, согласно Продовольственной организации ООН, 30% продуктов питания, производимых в мире, выбрасывается, причем на их долю приходится около 8% мировых выбросов парниковых газов.</w:t>
      </w:r>
    </w:p>
    <w:p w:rsidR="00000000" w:rsidDel="00000000" w:rsidP="00000000" w:rsidRDefault="00000000" w:rsidRPr="00000000" w14:paraId="00000021">
      <w:pPr>
        <w:spacing w:after="240" w:before="240" w:lineRule="auto"/>
        <w:ind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Снижение объема пищевых отходов, повышение продуктивности земель и стимулирование перехода на полноценный растительный рацион могут удовлетворить растущий спрос на продукты питания без необходимости увеличения площади обрабатываемых земель и в то же время снизить выбросы парниковых газов в сельскохозяйственном секторе. Тем не менее вы ограничены в реализации этих мер, поскольку в конечном итоге они могут привести к росту цен на продовольствие. Высокие цены на продукты питания сделают их недоступными для тех, кто более всего в них нуждается. Стимулирование перехода на растительный рацион приведет к финансовым потерям в таком крупном и растущем сегменте, как животноводство.</w:t>
      </w:r>
    </w:p>
    <w:p w:rsidR="00000000" w:rsidDel="00000000" w:rsidP="00000000" w:rsidRDefault="00000000" w:rsidRPr="00000000" w14:paraId="00000022">
      <w:pPr>
        <w:spacing w:after="240" w:before="240" w:lineRule="auto"/>
        <w:ind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В большей части мира будет затруднительно изменить подходы к землепользованию и методы ведения сельского хозяйства. Во многих развивающихся странах потенциальные преимущества климатически нейтрального сельского хозяйства остаются нереализованными из-за коррупции и отсутствия надзора, которые осложняют внедрение новых практик. В прошлом усилия по борьбе с обезлесением в Бразилии и Индонезии были успешными лишь отчасти. Браконьерские рубки остаются серьезной проблемой. Некоторые правительства активно субсидируют вырубку леса, чтобы поддержать лесную промышленность и агропроизводителей, а также обеспечить землей население.</w:t>
      </w:r>
    </w:p>
    <w:p w:rsidR="00000000" w:rsidDel="00000000" w:rsidP="00000000" w:rsidRDefault="00000000" w:rsidRPr="00000000" w14:paraId="00000023">
      <w:pPr>
        <w:spacing w:after="240" w:before="240" w:lineRule="auto"/>
        <w:ind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Несмотря на эти вызовы изменение климата представляет существенную угрозу для организаций, составляющих вашу группу. Усиливающиеся наводнения, засухи, волны жары, лесные пожары и повышение уровня моря уже сегодня приводят к сокращению земель, доступных для сельского хозяйства, снижению урожаев, уничтожению лесов и падению доходов. Несмотря на то, что изменения </w:t>
      </w:r>
      <w:r w:rsidDel="00000000" w:rsidR="00000000" w:rsidRPr="00000000">
        <w:rPr>
          <w:rFonts w:ascii="Helvetica Neue" w:cs="Helvetica Neue" w:eastAsia="Helvetica Neue" w:hAnsi="Helvetica Neue"/>
          <w:rtl w:val="0"/>
        </w:rPr>
        <w:t xml:space="preserve">дадутся</w:t>
      </w:r>
      <w:r w:rsidDel="00000000" w:rsidR="00000000" w:rsidRPr="00000000">
        <w:rPr>
          <w:rFonts w:ascii="Helvetica Neue" w:cs="Helvetica Neue" w:eastAsia="Helvetica Neue" w:hAnsi="Helvetica Neue"/>
          <w:rtl w:val="0"/>
        </w:rPr>
        <w:t xml:space="preserve"> вам нелегко и финансовые потери неизбежны, ваша группа может внести вклад в борьбу с изменением климата, внедряя прогрессивные методы ведения сельского хозяйства и землепользования.</w:t>
      </w:r>
    </w:p>
    <w:sectPr>
      <w:headerReference r:id="rId1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rPr/>
    </w:pPr>
    <w:r w:rsidDel="00000000" w:rsidR="00000000" w:rsidRPr="00000000">
      <w:rPr/>
      <w:drawing>
        <wp:inline distB="114300" distT="114300" distL="114300" distR="114300">
          <wp:extent cx="5943600" cy="736600"/>
          <wp:effectExtent b="0" l="0" r="0" t="0"/>
          <wp:docPr id="2" name="image5.png"/>
          <a:graphic>
            <a:graphicData uri="http://schemas.openxmlformats.org/drawingml/2006/picture">
              <pic:pic>
                <pic:nvPicPr>
                  <pic:cNvPr id="0" name="image5.png"/>
                  <pic:cNvPicPr preferRelativeResize="0"/>
                </pic:nvPicPr>
                <pic:blipFill>
                  <a:blip r:embed="rId1"/>
                  <a:srcRect b="0" l="0" r="0" t="0"/>
                  <a:stretch>
                    <a:fillRect/>
                  </a:stretch>
                </pic:blipFill>
                <pic:spPr>
                  <a:xfrm>
                    <a:off x="0" y="0"/>
                    <a:ext cx="5943600" cy="7366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